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 Compact steam methane reformer for on-site hydrogen supply</w:t>
      </w:r>
    </w:p>
    <w:p>
      <w:pPr>
        <w:pStyle w:val="Subtitle"/>
      </w:pPr>
      <w:r>
        <w:t xml:space="preserve">Group Project: chemical reaction engineering S1 2024</w:t>
      </w:r>
    </w:p>
    <w:p>
      <w:pPr>
        <w:pStyle w:val="Author"/>
      </w:pPr>
    </w:p>
    <w:bookmarkStart w:id="24" w:name="introduction"/>
    <w:p>
      <w:pPr>
        <w:pStyle w:val="Heading1"/>
      </w:pPr>
      <w:r>
        <w:t xml:space="preserve">1.1 Introduction</w:t>
      </w:r>
    </w:p>
    <w:p>
      <w:pPr>
        <w:pStyle w:val="FirstParagraph"/>
      </w:pPr>
      <w:r>
        <w:t xml:space="preserve">Hydrogen is rapidly emerging as a key player in the global shift toward clean</w:t>
      </w:r>
      <w:r>
        <w:t xml:space="preserve"> </w:t>
      </w:r>
      <w:r>
        <w:t xml:space="preserve">energy. Hydrogen fueling stations are critical to this transition, especially</w:t>
      </w:r>
      <w:r>
        <w:t xml:space="preserve"> </w:t>
      </w:r>
      <w:r>
        <w:t xml:space="preserve">as the demand for compact and efficient fueling solutions grows alongside the</w:t>
      </w:r>
      <w:r>
        <w:t xml:space="preserve"> </w:t>
      </w:r>
      <w:r>
        <w:t xml:space="preserve">rise in fuel cell vehicles (FCVs). These stations represent a significant</w:t>
      </w:r>
      <w:r>
        <w:t xml:space="preserve"> </w:t>
      </w:r>
      <w:r>
        <w:t xml:space="preserve">advancement in refueling infrastructure, offering fast, high-density energy</w:t>
      </w:r>
      <w:r>
        <w:t xml:space="preserve"> </w:t>
      </w:r>
      <w:r>
        <w:t xml:space="preserve">solutions compatible with the increasing pace of modern transportation. While</w:t>
      </w:r>
      <w:r>
        <w:t xml:space="preserve"> </w:t>
      </w:r>
      <w:r>
        <w:t xml:space="preserve">the industry is still evolving and grappling with challenges related to</w:t>
      </w:r>
      <w:r>
        <w:t xml:space="preserve"> </w:t>
      </w:r>
      <w:r>
        <w:t xml:space="preserve">innovation and technology scaling, the development of more compact hydrogen</w:t>
      </w:r>
      <w:r>
        <w:t xml:space="preserve"> </w:t>
      </w:r>
      <w:r>
        <w:t xml:space="preserve">fueling options could significantly accelerate the adoption of hydrogen as a</w:t>
      </w:r>
      <w:r>
        <w:t xml:space="preserve"> </w:t>
      </w:r>
      <w:r>
        <w:t xml:space="preserve">mainstream energy source and drive further advancements in sustainable</w:t>
      </w:r>
      <w:r>
        <w:t xml:space="preserve"> </w:t>
      </w:r>
      <w:r>
        <w:t xml:space="preserve">transport.</w:t>
      </w:r>
    </w:p>
    <w:p>
      <w:pPr>
        <w:pStyle w:val="BodyText"/>
      </w:pPr>
      <w:r>
        <w:t xml:space="preserve">On-site hydrogen production through steam-methane reforming (SMR) from city gas</w:t>
      </w:r>
      <w:r>
        <w:t xml:space="preserve"> </w:t>
      </w:r>
      <w:r>
        <w:t xml:space="preserve">or natural gas is believed to be a cost-effective way for hydrogen-based</w:t>
      </w:r>
      <w:r>
        <w:t xml:space="preserve"> </w:t>
      </w:r>
      <w:r>
        <w:t xml:space="preserve">infrastructure due to high cost of hydrogen transportation (</w:t>
      </w:r>
      <w:r>
        <w:t xml:space="preserve">C. Zhang et al. (</w:t>
      </w:r>
      <w:hyperlink w:anchor="ref-zhang2022ijohe">
        <w:r>
          <w:rPr>
            <w:rStyle w:val="Hyperlink"/>
          </w:rPr>
          <w:t xml:space="preserve">2022</w:t>
        </w:r>
      </w:hyperlink>
      <w:r>
        <w:t xml:space="preserve">)</w:t>
      </w:r>
      <w:r>
        <w:t xml:space="preserve">).</w:t>
      </w:r>
    </w:p>
    <w:p>
      <w:pPr>
        <w:pStyle w:val="BodyText"/>
      </w:pPr>
      <w:r>
        <w:t xml:space="preserve">Compact hydrogen production systems on-site typically involve a series of</w:t>
      </w:r>
      <w:r>
        <w:t xml:space="preserve"> </w:t>
      </w:r>
      <w:r>
        <w:t xml:space="preserve">processes: steam-methane reforming (SMR), water-gas shift (WGS), and pressure</w:t>
      </w:r>
      <w:r>
        <w:t xml:space="preserve"> </w:t>
      </w:r>
      <w:r>
        <w:t xml:space="preserve">swing adsorption (PSA). If the system uses urban gas as a feedstock, it</w:t>
      </w:r>
      <w:r>
        <w:t xml:space="preserve"> </w:t>
      </w:r>
      <w:r>
        <w:t xml:space="preserve">necessitates a desulfurization step to lower sulfur content to ppm levels. This</w:t>
      </w:r>
      <w:r>
        <w:t xml:space="preserve"> </w:t>
      </w:r>
      <w:r>
        <w:t xml:space="preserve">precaution helps to prevent potential detrimental impacts on the catalysts used</w:t>
      </w:r>
      <w:r>
        <w:t xml:space="preserve"> </w:t>
      </w:r>
      <w:r>
        <w:t xml:space="preserve">in both the reforming and shift reactions and maintains the integrity of the</w:t>
      </w:r>
      <w:r>
        <w:t xml:space="preserve"> </w:t>
      </w:r>
      <w:r>
        <w:t xml:space="preserve">hydrogen production process. A typical process is shown in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1"/>
          <w:p>
            <w:pPr>
              <w:pStyle w:val="Compact"/>
              <w:jc w:val="center"/>
            </w:pPr>
            <w:r>
              <w:drawing>
                <wp:inline>
                  <wp:extent cx="6324600" cy="3105942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../../../assets/images/hyserve30-reforming-process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105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Compact SMR reforming process</w:t>
            </w:r>
          </w:p>
          <w:bookmarkEnd w:id="23"/>
        </w:tc>
      </w:tr>
    </w:tbl>
    <w:p>
      <w:pPr>
        <w:pStyle w:val="BodyText"/>
      </w:pPr>
      <w:r>
        <w:t xml:space="preserve">Steam methane reforming occurs in reactors that are actually tubular furnaces</w:t>
      </w:r>
      <w:r>
        <w:t xml:space="preserve"> </w:t>
      </w:r>
      <w:r>
        <w:t xml:space="preserve">(</w:t>
      </w:r>
      <w:r>
        <w:t xml:space="preserve">Worstell (</w:t>
      </w:r>
      <w:hyperlink w:anchor="ref-worstell2014">
        <w:r>
          <w:rPr>
            <w:rStyle w:val="Hyperlink"/>
          </w:rPr>
          <w:t xml:space="preserve">2014</w:t>
        </w:r>
      </w:hyperlink>
      <w:r>
        <w:t xml:space="preserve">)</w:t>
      </w:r>
      <w:r>
        <w:t xml:space="preserve">). A typical steam methane reformer preheats the gas feed in a</w:t>
      </w:r>
      <w:r>
        <w:t xml:space="preserve"> </w:t>
      </w:r>
      <w:r>
        <w:t xml:space="preserve">convection furnace box, then injects the hot gas into vertical tubes placed in</w:t>
      </w:r>
      <w:r>
        <w:t xml:space="preserve"> </w:t>
      </w:r>
      <w:r>
        <w:t xml:space="preserve">a radiation furnace box. The vertical tubes contain a nickel impregnated</w:t>
      </w:r>
      <w:r>
        <w:t xml:space="preserve"> </w:t>
      </w:r>
      <w:r>
        <w:t xml:space="preserve">solid-supported catalyst (</w:t>
      </w:r>
      <w:r>
        <w:t xml:space="preserve">H. Zhang, Sun, and Hu (</w:t>
      </w:r>
      <w:hyperlink w:anchor="ref-zhang2021raser">
        <w:r>
          <w:rPr>
            <w:rStyle w:val="Hyperlink"/>
          </w:rPr>
          <w:t xml:space="preserve">2021</w:t>
        </w:r>
      </w:hyperlink>
      <w:r>
        <w:t xml:space="preserve">)</w:t>
      </w:r>
      <w:r>
        <w:t xml:space="preserve">). The catalyst-filled tubes are</w:t>
      </w:r>
      <w:r>
        <w:t xml:space="preserve"> </w:t>
      </w:r>
      <w:r>
        <w:t xml:space="preserve">designed for a specified heat flux along the tube (</w:t>
      </w:r>
      <w:r>
        <w:t xml:space="preserve">Karpilov and Pashchenko (</w:t>
      </w:r>
      <w:hyperlink w:anchor="ref-karpilov2023tsaep">
        <w:r>
          <w:rPr>
            <w:rStyle w:val="Hyperlink"/>
          </w:rPr>
          <w:t xml:space="preserve">2023</w:t>
        </w:r>
      </w:hyperlink>
      <w:r>
        <w:t xml:space="preserve">)</w:t>
      </w:r>
      <w:r>
        <w:t xml:space="preserve">).</w:t>
      </w:r>
    </w:p>
    <w:p>
      <w:pPr>
        <w:pStyle w:val="BodyText"/>
      </w:pPr>
      <w:r>
        <w:t xml:space="preserve">Some other papers that you may find useful are (</w:t>
      </w:r>
      <w:r>
        <w:t xml:space="preserve">Bhat and Sadhukhan (</w:t>
      </w:r>
      <w:hyperlink w:anchor="ref-bhat2009aj">
        <w:r>
          <w:rPr>
            <w:rStyle w:val="Hyperlink"/>
          </w:rPr>
          <w:t xml:space="preserve">2009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Mokheimer et al. (</w:t>
      </w:r>
      <w:hyperlink w:anchor="ref-mokheimer2014joert">
        <w:r>
          <w:rPr>
            <w:rStyle w:val="Hyperlink"/>
          </w:rPr>
          <w:t xml:space="preserve">2014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Boyano et al. (</w:t>
      </w:r>
      <w:hyperlink w:anchor="ref-boyano2011e">
        <w:r>
          <w:rPr>
            <w:rStyle w:val="Hyperlink"/>
          </w:rPr>
          <w:t xml:space="preserve">2011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Lao et al. (</w:t>
      </w:r>
      <w:hyperlink w:anchor="ref-lao2016ces">
        <w:r>
          <w:rPr>
            <w:rStyle w:val="Hyperlink"/>
          </w:rPr>
          <w:t xml:space="preserve">2016</w:t>
        </w:r>
      </w:hyperlink>
      <w:r>
        <w:t xml:space="preserve">)</w:t>
      </w:r>
      <w:r>
        <w:t xml:space="preserve">,</w:t>
      </w:r>
      <w:r>
        <w:t xml:space="preserve"> </w:t>
      </w:r>
      <w:r>
        <w:t xml:space="preserve">Ade et al. (</w:t>
      </w:r>
      <w:hyperlink w:anchor="ref-ade2022ijohe">
        <w:r>
          <w:rPr>
            <w:rStyle w:val="Hyperlink"/>
          </w:rPr>
          <w:t xml:space="preserve">2022</w:t>
        </w:r>
      </w:hyperlink>
      <w:r>
        <w:t xml:space="preserve">)</w:t>
      </w:r>
      <w:r>
        <w:t xml:space="preserve">, and</w:t>
      </w:r>
      <w:r>
        <w:t xml:space="preserve"> </w:t>
      </w:r>
      <w:r>
        <w:t xml:space="preserve">Ma et al. (</w:t>
      </w:r>
      <w:hyperlink w:anchor="ref-ma2022ijohe">
        <w:r>
          <w:rPr>
            <w:rStyle w:val="Hyperlink"/>
          </w:rPr>
          <w:t xml:space="preserve">2022</w:t>
        </w:r>
      </w:hyperlink>
      <w:r>
        <w:t xml:space="preserve">)</w:t>
      </w:r>
      <w:r>
        <w:t xml:space="preserve"> </w:t>
      </w:r>
      <w:r>
        <w:t xml:space="preserve">)</w:t>
      </w:r>
    </w:p>
    <w:bookmarkEnd w:id="24"/>
    <w:bookmarkStart w:id="28" w:name="problem-description"/>
    <w:p>
      <w:pPr>
        <w:pStyle w:val="Heading1"/>
      </w:pPr>
      <w:r>
        <w:t xml:space="preserve">1.2 Problem description</w:t>
      </w:r>
    </w:p>
    <w:p>
      <w:pPr>
        <w:pStyle w:val="FirstParagraph"/>
      </w:pPr>
      <w:r>
        <w:t xml:space="preserve">In this project, your team has been assigned the task of designing a fixed bed</w:t>
      </w:r>
      <w:r>
        <w:t xml:space="preserve"> </w:t>
      </w:r>
      <w:r>
        <w:t xml:space="preserve">SMR reactor capable of generating 30</w:t>
      </w:r>
      <w:r>
        <w:t xml:space="preserve"> </w:t>
      </w:r>
      <m:oMath>
        <m:r>
          <m:t>N</m:t>
        </m:r>
        <m:sSup>
          <m:e>
            <m: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/</m:t>
        </m:r>
        <m:r>
          <m:t>h</m:t>
        </m:r>
      </m:oMath>
      <w:r>
        <w:t xml:space="preserve"> </w:t>
      </w:r>
      <w:r>
        <w:t xml:space="preserve">of hydrogen using city gas.</w:t>
      </w:r>
    </w:p>
    <w:p>
      <w:pPr>
        <w:pStyle w:val="BodyText"/>
      </w:pPr>
      <w:r>
        <w:t xml:space="preserve">Your team will research on the SMR technology, design the SMR reactor, and</w:t>
      </w:r>
      <w:r>
        <w:t xml:space="preserve"> </w:t>
      </w:r>
      <w:r>
        <w:t xml:space="preserve">explore strategies for control and optimization of the reactor.</w:t>
      </w:r>
    </w:p>
    <w:bookmarkStart w:id="25" w:name="a-short-note-on-reactors-used-for-smr"/>
    <w:p>
      <w:pPr>
        <w:pStyle w:val="Heading2"/>
      </w:pPr>
      <w:r>
        <w:t xml:space="preserve">1.2.1 A short note on reactors used for SMR</w:t>
      </w:r>
    </w:p>
    <w:p>
      <w:pPr>
        <w:pStyle w:val="FirstParagraph"/>
      </w:pPr>
      <w:r>
        <w:t xml:space="preserve">Based on literature survey, prepare a note on reaction engineering aspects of</w:t>
      </w:r>
      <w:r>
        <w:t xml:space="preserve"> </w:t>
      </w:r>
      <w:r>
        <w:t xml:space="preserve">steam methane reforming. The references provided at the end may be used as a</w:t>
      </w:r>
      <w:r>
        <w:t xml:space="preserve"> </w:t>
      </w:r>
      <w:r>
        <w:t xml:space="preserve">starting point for preparing such a note.</w:t>
      </w:r>
    </w:p>
    <w:bookmarkEnd w:id="25"/>
    <w:bookmarkStart w:id="27" w:name="design-of-smr-reactor"/>
    <w:p>
      <w:pPr>
        <w:pStyle w:val="Heading2"/>
      </w:pPr>
      <w:r>
        <w:t xml:space="preserve">1.2.2 Design of SMR reactor</w:t>
      </w:r>
    </w:p>
    <w:p>
      <w:pPr>
        <w:pStyle w:val="FirstParagraph"/>
      </w:pPr>
      <w:r>
        <w:t xml:space="preserve">Design the SMR reactor to be operated at constant temperature. Consider all the</w:t>
      </w:r>
      <w:r>
        <w:t xml:space="preserve"> </w:t>
      </w:r>
      <w:r>
        <w:t xml:space="preserve">major reactions occuring within the SMR process. Detailed kinetics of the</w:t>
      </w:r>
      <w:r>
        <w:t xml:space="preserve"> </w:t>
      </w:r>
      <w:r>
        <w:t xml:space="preserve">reactions occuring is given by</w:t>
      </w:r>
      <w:r>
        <w:t xml:space="preserve"> </w:t>
      </w:r>
      <w:r>
        <w:t xml:space="preserve">Hou and Hughes (</w:t>
      </w:r>
      <w:hyperlink w:anchor="ref-hou2001cej">
        <w:r>
          <w:rPr>
            <w:rStyle w:val="Hyperlink"/>
          </w:rPr>
          <w:t xml:space="preserve">2001</w:t>
        </w:r>
      </w:hyperlink>
      <w:r>
        <w:t xml:space="preserve">)</w:t>
      </w:r>
      <w:r>
        <w:t xml:space="preserve">. Using appropriate assumptions,</w:t>
      </w:r>
      <w:r>
        <w:t xml:space="preserve"> </w:t>
      </w:r>
      <w:r>
        <w:t xml:space="preserve">follow the reaction engineering algorithm to develop (mass and energy) balance</w:t>
      </w:r>
      <w:r>
        <w:t xml:space="preserve"> </w:t>
      </w:r>
      <w:r>
        <w:t xml:space="preserve">equations for both the reforming section and furnace section</w:t>
      </w:r>
      <w:r>
        <w:rPr>
          <w:rStyle w:val="FootnoteReference"/>
        </w:rPr>
        <w:footnoteReference w:id="26"/>
      </w:r>
      <w:r>
        <w:t xml:space="preserve">. Use</w:t>
      </w:r>
      <w:r>
        <w:t xml:space="preserve"> </w:t>
      </w:r>
      <w:r>
        <w:t xml:space="preserve">literature to obtain all the data required for completing your design.</w:t>
      </w:r>
    </w:p>
    <w:p>
      <w:pPr>
        <w:pStyle w:val="BodyText"/>
      </w:pPr>
      <w:r>
        <w:t xml:space="preserve">Once your design is finalized, conduct a sensitivity study to assess the effect</w:t>
      </w:r>
      <w:r>
        <w:t xml:space="preserve"> </w:t>
      </w:r>
      <w:r>
        <w:t xml:space="preserve">of various operating and design parameters (such as temperature, flow rate,</w:t>
      </w:r>
      <w:r>
        <w:t xml:space="preserve"> </w:t>
      </w:r>
      <w:r>
        <w:t xml:space="preserve">etc.) on the hydrogen production. You can use the reactor model to perform these studies.</w:t>
      </w:r>
    </w:p>
    <w:p>
      <w:pPr>
        <w:pStyle w:val="BodyText"/>
      </w:pPr>
      <w:r>
        <w:t xml:space="preserve">Explore possibilities for optimization (such as adjusting the conversion so</w:t>
      </w:r>
      <w:r>
        <w:t xml:space="preserve"> </w:t>
      </w:r>
      <w:r>
        <w:t xml:space="preserve">that optimal amount of fuel gas is available to heat the SMR reactor) and comment on safety, and control of the reactor.</w:t>
      </w:r>
    </w:p>
    <w:p>
      <w:pPr>
        <w:pStyle w:val="BodyText"/>
      </w:pPr>
      <w:r>
        <w:t xml:space="preserve">The project is deliberately set to be open‐ended. You are expected to do some</w:t>
      </w:r>
      <w:r>
        <w:t xml:space="preserve"> </w:t>
      </w:r>
      <w:r>
        <w:t xml:space="preserve">self‐directed study of material outside of what has been covered in the unit.</w:t>
      </w:r>
    </w:p>
    <w:bookmarkEnd w:id="27"/>
    <w:bookmarkEnd w:id="28"/>
    <w:bookmarkStart w:id="29" w:name="report"/>
    <w:p>
      <w:pPr>
        <w:pStyle w:val="Heading1"/>
      </w:pPr>
      <w:r>
        <w:t xml:space="preserve">1.3 Report</w:t>
      </w:r>
    </w:p>
    <w:p>
      <w:pPr>
        <w:pStyle w:val="FirstParagraph"/>
      </w:pPr>
      <w:r>
        <w:t xml:space="preserve">Prepare a report consisting of the following:</w:t>
      </w:r>
    </w:p>
    <w:p>
      <w:pPr>
        <w:numPr>
          <w:ilvl w:val="0"/>
          <w:numId w:val="1001"/>
        </w:numPr>
      </w:pPr>
      <w:r>
        <w:t xml:space="preserve">Reaction engineering aspects of steam methane reforming</w:t>
      </w:r>
      <w:r>
        <w:t xml:space="preserve"> </w:t>
      </w:r>
      <w:r>
        <w:t xml:space="preserve">(20 marks)</w:t>
      </w:r>
    </w:p>
    <w:p>
      <w:pPr>
        <w:numPr>
          <w:ilvl w:val="0"/>
          <w:numId w:val="1000"/>
        </w:numPr>
      </w:pPr>
      <w:r>
        <w:t xml:space="preserve">Present a comprehensive note (5 – 6 pages) on the state of the art of</w:t>
      </w:r>
      <w:r>
        <w:t xml:space="preserve"> </w:t>
      </w:r>
      <w:r>
        <w:t xml:space="preserve">steam methane reforming technology. Incude aspects of catalysis, novel</w:t>
      </w:r>
      <w:r>
        <w:t xml:space="preserve"> </w:t>
      </w:r>
      <w:r>
        <w:t xml:space="preserve">configurations, operating conditions, etc.</w:t>
      </w:r>
    </w:p>
    <w:p>
      <w:pPr>
        <w:numPr>
          <w:ilvl w:val="0"/>
          <w:numId w:val="1001"/>
        </w:numPr>
      </w:pPr>
      <w:r>
        <w:t xml:space="preserve">Reactor design for production of 30</w:t>
      </w:r>
      <w:r>
        <w:t xml:space="preserve"> </w:t>
      </w:r>
      <m:oMath>
        <m:r>
          <m:t>N</m:t>
        </m:r>
        <m:sSup>
          <m:e>
            <m: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/</m:t>
        </m:r>
        <m:r>
          <m:t>h</m:t>
        </m:r>
      </m:oMath>
      <w:r>
        <w:t xml:space="preserve"> </w:t>
      </w:r>
      <w:r>
        <w:t xml:space="preserve">hydrogen</w:t>
      </w:r>
      <w:r>
        <w:t xml:space="preserve"> </w:t>
      </w:r>
      <w:r>
        <w:t xml:space="preserve">(40 marks)</w:t>
      </w:r>
    </w:p>
    <w:p>
      <w:pPr>
        <w:numPr>
          <w:ilvl w:val="0"/>
          <w:numId w:val="1001"/>
        </w:numPr>
      </w:pPr>
      <w:r>
        <w:t xml:space="preserve">Optimization, safety, and control</w:t>
      </w:r>
      <w:r>
        <w:t xml:space="preserve"> </w:t>
      </w:r>
      <w:r>
        <w:t xml:space="preserve">(20 marks)</w:t>
      </w:r>
    </w:p>
    <w:p>
      <w:pPr>
        <w:numPr>
          <w:ilvl w:val="0"/>
          <w:numId w:val="1001"/>
        </w:numPr>
      </w:pPr>
      <w:r>
        <w:t xml:space="preserve">Critical review</w:t>
      </w:r>
      <w:r>
        <w:t xml:space="preserve"> </w:t>
      </w:r>
      <w:r>
        <w:t xml:space="preserve">(10 marks)</w:t>
      </w:r>
    </w:p>
    <w:p>
      <w:pPr>
        <w:numPr>
          <w:ilvl w:val="0"/>
          <w:numId w:val="1000"/>
        </w:numPr>
      </w:pPr>
      <w:r>
        <w:t xml:space="preserve">Present a critical review of your design activity.</w:t>
      </w:r>
      <w:r>
        <w:t xml:space="preserve"> </w:t>
      </w:r>
      <w:r>
        <w:t xml:space="preserve">Some key guiding questions (not limited to) are:</w:t>
      </w:r>
      <w:r>
        <w:t xml:space="preserve"> </w:t>
      </w:r>
      <w:r>
        <w:t xml:space="preserve">Why should we believe your design?</w:t>
      </w:r>
      <w:r>
        <w:t xml:space="preserve"> </w:t>
      </w:r>
      <w:r>
        <w:t xml:space="preserve">What worked, What did not work?</w:t>
      </w:r>
      <w:r>
        <w:t xml:space="preserve"> </w:t>
      </w:r>
      <w:r>
        <w:t xml:space="preserve">How to improve the design?</w:t>
      </w:r>
    </w:p>
    <w:bookmarkEnd w:id="29"/>
    <w:bookmarkStart w:id="30" w:name="marking"/>
    <w:p>
      <w:pPr>
        <w:pStyle w:val="Heading1"/>
      </w:pPr>
      <w:r>
        <w:t xml:space="preserve">1.4 Marking</w:t>
      </w:r>
    </w:p>
    <w:p>
      <w:pPr>
        <w:pStyle w:val="FirstParagraph"/>
      </w:pPr>
      <w:r>
        <w:t xml:space="preserve">The report will be marked as follows: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Marks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Short note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Reaction engineering aspects of steam methane reforming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Reactor design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Detailed reactor design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Optimization, safety, and control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Critical Review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Report Presentation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</w:t>
            </w:r>
          </w:p>
        </w:tc>
      </w:tr>
    </w:tbl>
    <w:bookmarkEnd w:id="30"/>
    <w:bookmarkStart w:id="31" w:name="report-format"/>
    <w:p>
      <w:pPr>
        <w:pStyle w:val="Heading1"/>
      </w:pPr>
      <w:r>
        <w:t xml:space="preserve">1.5 Report format</w:t>
      </w:r>
    </w:p>
    <w:p>
      <w:pPr>
        <w:pStyle w:val="FirstParagraph"/>
      </w:pPr>
      <w:r>
        <w:t xml:space="preserve">Use the following report format</w:t>
      </w:r>
    </w:p>
    <w:p>
      <w:pPr>
        <w:pStyle w:val="SourceCode"/>
      </w:pPr>
      <w:r>
        <w:rPr>
          <w:rStyle w:val="VerbatimChar"/>
        </w:rPr>
        <w:t xml:space="preserve">Cover page</w:t>
      </w:r>
      <w:r>
        <w:br/>
      </w:r>
      <w:r>
        <w:rPr>
          <w:rStyle w:val="VerbatimChar"/>
        </w:rPr>
        <w:t xml:space="preserve">1.0 Executive Summary</w:t>
      </w:r>
      <w:r>
        <w:br/>
      </w:r>
      <w:r>
        <w:rPr>
          <w:rStyle w:val="VerbatimChar"/>
        </w:rPr>
        <w:t xml:space="preserve">2.0 Process Description</w:t>
      </w:r>
      <w:r>
        <w:br/>
      </w:r>
      <w:r>
        <w:rPr>
          <w:rStyle w:val="VerbatimChar"/>
        </w:rPr>
        <w:t xml:space="preserve">3.0 Reactor Design</w:t>
      </w:r>
      <w:r>
        <w:br/>
      </w:r>
      <w:r>
        <w:rPr>
          <w:rStyle w:val="VerbatimChar"/>
        </w:rPr>
        <w:t xml:space="preserve">    3.1 Reaction chemistry and thermodynamics</w:t>
      </w:r>
      <w:r>
        <w:br/>
      </w:r>
      <w:r>
        <w:rPr>
          <w:rStyle w:val="VerbatimChar"/>
        </w:rPr>
        <w:t xml:space="preserve">    3.2 Catalyst</w:t>
      </w:r>
      <w:r>
        <w:br/>
      </w:r>
      <w:r>
        <w:rPr>
          <w:rStyle w:val="VerbatimChar"/>
        </w:rPr>
        <w:t xml:space="preserve">    3.3 Reactor type</w:t>
      </w:r>
      <w:r>
        <w:br/>
      </w:r>
      <w:r>
        <w:rPr>
          <w:rStyle w:val="VerbatimChar"/>
        </w:rPr>
        <w:t xml:space="preserve">    3.4 Reactor sizing</w:t>
      </w:r>
      <w:r>
        <w:br/>
      </w:r>
      <w:r>
        <w:rPr>
          <w:rStyle w:val="VerbatimChar"/>
        </w:rPr>
        <w:t xml:space="preserve">    3.5 Reactor operating conditions and sensitivities</w:t>
      </w:r>
      <w:r>
        <w:br/>
      </w:r>
      <w:r>
        <w:rPr>
          <w:rStyle w:val="VerbatimChar"/>
        </w:rPr>
        <w:t xml:space="preserve">    3.6 Conversion and selectivity</w:t>
      </w:r>
      <w:r>
        <w:br/>
      </w:r>
      <w:r>
        <w:rPr>
          <w:rStyle w:val="VerbatimChar"/>
        </w:rPr>
        <w:t xml:space="preserve">    3.7 Reactor concentration profiles</w:t>
      </w:r>
      <w:r>
        <w:br/>
      </w:r>
      <w:r>
        <w:rPr>
          <w:rStyle w:val="VerbatimChar"/>
        </w:rPr>
        <w:t xml:space="preserve">    3.8 Materials of construction</w:t>
      </w:r>
      <w:r>
        <w:br/>
      </w:r>
      <w:r>
        <w:rPr>
          <w:rStyle w:val="VerbatimChar"/>
        </w:rPr>
        <w:t xml:space="preserve">5.0 Reactor optimization, safety, and control</w:t>
      </w:r>
      <w:r>
        <w:br/>
      </w:r>
      <w:r>
        <w:rPr>
          <w:rStyle w:val="VerbatimChar"/>
        </w:rPr>
        <w:t xml:space="preserve">6.0 Critical review</w:t>
      </w:r>
      <w:r>
        <w:br/>
      </w:r>
      <w:r>
        <w:rPr>
          <w:rStyle w:val="VerbatimChar"/>
        </w:rPr>
        <w:t xml:space="preserve">7.0 Conclusions and Recommendations</w:t>
      </w:r>
      <w:r>
        <w:br/>
      </w:r>
      <w:r>
        <w:rPr>
          <w:rStyle w:val="VerbatimChar"/>
        </w:rPr>
        <w:t xml:space="preserve">8.0 References</w:t>
      </w:r>
      <w:r>
        <w:br/>
      </w:r>
      <w:r>
        <w:rPr>
          <w:rStyle w:val="VerbatimChar"/>
        </w:rPr>
        <w:t xml:space="preserve">9.0 Appendices</w:t>
      </w:r>
    </w:p>
    <w:bookmarkEnd w:id="31"/>
    <w:bookmarkStart w:id="32" w:name="submission"/>
    <w:p>
      <w:pPr>
        <w:pStyle w:val="Heading1"/>
      </w:pPr>
      <w:r>
        <w:t xml:space="preserve">1.6 Submission</w:t>
      </w:r>
    </w:p>
    <w:p>
      <w:pPr>
        <w:pStyle w:val="FirstParagraph"/>
      </w:pPr>
      <w:r>
        <w:t xml:space="preserve">The project is conducted in a group of four.</w:t>
      </w:r>
      <w:r>
        <w:t xml:space="preserve"> </w:t>
      </w:r>
      <w:r>
        <w:t xml:space="preserve">You are free to choose your group.</w:t>
      </w:r>
      <w:r>
        <w:t xml:space="preserve"> </w:t>
      </w:r>
      <w:r>
        <w:t xml:space="preserve">Please notify the instructors of your groups as soon as you form them.</w:t>
      </w:r>
      <w:r>
        <w:t xml:space="preserve"> </w:t>
      </w:r>
      <w:r>
        <w:t xml:space="preserve">If you cannot find a group, please get in touch with your instructor at the earliest.</w:t>
      </w:r>
      <w:r>
        <w:t xml:space="preserve"> </w:t>
      </w:r>
      <w:r>
        <w:t xml:space="preserve">You will need to submit all the files created electronically on blackboard (Moodle for Miri students).</w:t>
      </w:r>
      <w:r>
        <w:t xml:space="preserve"> </w:t>
      </w:r>
      <w:r>
        <w:t xml:space="preserve">There should be one submission per group.</w:t>
      </w:r>
      <w:r>
        <w:t xml:space="preserve"> </w:t>
      </w:r>
      <w:r>
        <w:t xml:space="preserve">Please follow the instructions given below carefully for preparing the files for submission.</w:t>
      </w:r>
      <w:r>
        <w:t xml:space="preserve"> </w:t>
      </w:r>
      <w:r>
        <w:t xml:space="preserve">Failure to follow these instructions may result in us not being able to assess the files.</w:t>
      </w:r>
    </w:p>
    <w:p>
      <w:pPr>
        <w:pStyle w:val="BodyText"/>
      </w:pPr>
      <w:r>
        <w:t xml:space="preserve">You will be uploading two files.</w:t>
      </w:r>
    </w:p>
    <w:p>
      <w:pPr>
        <w:numPr>
          <w:ilvl w:val="0"/>
          <w:numId w:val="1002"/>
        </w:numPr>
      </w:pPr>
      <w:r>
        <w:t xml:space="preserve">Report (pdf file containing the report).</w:t>
      </w:r>
      <w:r>
        <w:t xml:space="preserve"> </w:t>
      </w:r>
      <w:r>
        <w:t xml:space="preserve">You need to name the file as STUDENTID_CHEN3010_project_report.pdf (or )</w:t>
      </w:r>
      <w:r>
        <w:t xml:space="preserve"> </w:t>
      </w:r>
      <w:r>
        <w:t xml:space="preserve">STUDENTID_CHEN5040_project_report.pdf (Replace STUDENTID with your Student</w:t>
      </w:r>
      <w:r>
        <w:t xml:space="preserve"> </w:t>
      </w:r>
      <w:r>
        <w:t xml:space="preserve">ID). You need to make only one submission per group.</w:t>
      </w:r>
    </w:p>
    <w:p>
      <w:pPr>
        <w:numPr>
          <w:ilvl w:val="0"/>
          <w:numId w:val="1002"/>
        </w:numPr>
      </w:pPr>
      <w:r>
        <w:t xml:space="preserve">Create a zip file named STUDENTID_CHEN3010_project_Supporting_files.zip.</w:t>
      </w:r>
      <w:r>
        <w:t xml:space="preserve"> </w:t>
      </w:r>
      <w:r>
        <w:t xml:space="preserve">The zip file should contain a) All supporting files for design, modeling,</w:t>
      </w:r>
      <w:r>
        <w:t xml:space="preserve"> </w:t>
      </w:r>
      <w:r>
        <w:t xml:space="preserve">and simulation activities (excel, python, …) presented in the PDF report</w:t>
      </w:r>
      <w:r>
        <w:t xml:space="preserve"> </w:t>
      </w:r>
      <w:r>
        <w:t xml:space="preserve">file. You may upload the supporting file to a cloud storage of your preference</w:t>
      </w:r>
      <w:r>
        <w:t xml:space="preserve"> </w:t>
      </w:r>
      <w:r>
        <w:t xml:space="preserve">and share a link with us.</w:t>
      </w:r>
    </w:p>
    <w:bookmarkEnd w:id="32"/>
    <w:bookmarkStart w:id="55" w:name="references"/>
    <w:p>
      <w:pPr>
        <w:pStyle w:val="Heading1"/>
      </w:pPr>
      <w:r>
        <w:t xml:space="preserve">1.7 References</w:t>
      </w:r>
    </w:p>
    <w:bookmarkStart w:id="54" w:name="refs"/>
    <w:bookmarkStart w:id="34" w:name="ref-ade2022ijohe"/>
    <w:p>
      <w:pPr>
        <w:pStyle w:val="Bibliography"/>
      </w:pPr>
      <w:r>
        <w:t xml:space="preserve">Ade, Nilesh, Abdulrahman Alsuhaibani, Mahmoud M. El-Halwagi, Henry Goyette, and Benjamin Wilhite. 2022.</w:t>
      </w:r>
      <w:r>
        <w:t xml:space="preserve"> </w:t>
      </w:r>
      <w:r>
        <w:t xml:space="preserve">“Integrating Safety and Economics in Designing a Steam Methane Reforming Process.”</w:t>
      </w:r>
      <w:r>
        <w:t xml:space="preserve"> </w:t>
      </w:r>
      <w:r>
        <w:rPr>
          <w:i/>
          <w:iCs/>
        </w:rPr>
        <w:t xml:space="preserve">International Journal of Hydrogen Energy</w:t>
      </w:r>
      <w:r>
        <w:t xml:space="preserve"> </w:t>
      </w:r>
      <w:r>
        <w:t xml:space="preserve">47 (9): 6404–14.</w:t>
      </w:r>
      <w:r>
        <w:t xml:space="preserve"> </w:t>
      </w:r>
      <w:hyperlink r:id="rId33">
        <w:r>
          <w:rPr>
            <w:rStyle w:val="Hyperlink"/>
          </w:rPr>
          <w:t xml:space="preserve">https://doi.org/10.1016/j.ijhydene.2021.11.240</w:t>
        </w:r>
      </w:hyperlink>
      <w:r>
        <w:t xml:space="preserve">.</w:t>
      </w:r>
    </w:p>
    <w:bookmarkEnd w:id="34"/>
    <w:bookmarkStart w:id="36" w:name="ref-bhat2009aj"/>
    <w:p>
      <w:pPr>
        <w:pStyle w:val="Bibliography"/>
      </w:pPr>
      <w:r>
        <w:t xml:space="preserve">Bhat, Shrikant A., and Jhuma Sadhukhan. 2009.</w:t>
      </w:r>
      <w:r>
        <w:t xml:space="preserve"> </w:t>
      </w:r>
      <w:r>
        <w:t xml:space="preserve">“Process Intensification Aspects for Steam Methane Reforming: An Overview.”</w:t>
      </w:r>
      <w:r>
        <w:t xml:space="preserve"> </w:t>
      </w:r>
      <w:r>
        <w:rPr>
          <w:i/>
          <w:iCs/>
        </w:rPr>
        <w:t xml:space="preserve">AIChE Journal</w:t>
      </w:r>
      <w:r>
        <w:t xml:space="preserve"> </w:t>
      </w:r>
      <w:r>
        <w:t xml:space="preserve">55 (2): 408–22.</w:t>
      </w:r>
      <w:r>
        <w:t xml:space="preserve"> </w:t>
      </w:r>
      <w:hyperlink r:id="rId35">
        <w:r>
          <w:rPr>
            <w:rStyle w:val="Hyperlink"/>
          </w:rPr>
          <w:t xml:space="preserve">https://doi.org/10.1002/aic.11687</w:t>
        </w:r>
      </w:hyperlink>
      <w:r>
        <w:t xml:space="preserve">.</w:t>
      </w:r>
    </w:p>
    <w:bookmarkEnd w:id="36"/>
    <w:bookmarkStart w:id="38" w:name="ref-boyano2011e"/>
    <w:p>
      <w:pPr>
        <w:pStyle w:val="Bibliography"/>
      </w:pPr>
      <w:r>
        <w:t xml:space="preserve">Boyano, A., A. M. Blanco-Marigorta, T. Morosuk, and G. Tsatsaronis. 2011.</w:t>
      </w:r>
      <w:r>
        <w:t xml:space="preserve"> </w:t>
      </w:r>
      <w:r>
        <w:t xml:space="preserve">“Exergoenvironmental Analysis of a Steam Methane Reforming Process for Hydrogen Production.”</w:t>
      </w:r>
      <w:r>
        <w:t xml:space="preserve"> </w:t>
      </w:r>
      <w:r>
        <w:rPr>
          <w:i/>
          <w:iCs/>
        </w:rPr>
        <w:t xml:space="preserve">Energy</w:t>
      </w:r>
      <w:r>
        <w:t xml:space="preserve">, 5th</w:t>
      </w:r>
      <w:r>
        <w:t xml:space="preserve"> </w:t>
      </w:r>
      <w:r>
        <w:t xml:space="preserve">Dubrovnik Conference</w:t>
      </w:r>
      <w:r>
        <w:t xml:space="preserve"> </w:t>
      </w:r>
      <w:r>
        <w:t xml:space="preserve">on</w:t>
      </w:r>
      <w:r>
        <w:t xml:space="preserve"> </w:t>
      </w:r>
      <w:r>
        <w:t xml:space="preserve">Sustainable Development</w:t>
      </w:r>
      <w:r>
        <w:t xml:space="preserve"> </w:t>
      </w:r>
      <w:r>
        <w:t xml:space="preserve">of</w:t>
      </w:r>
      <w:r>
        <w:t xml:space="preserve"> </w:t>
      </w:r>
      <w:r>
        <w:t xml:space="preserve">Energy</w:t>
      </w:r>
      <w:r>
        <w:t xml:space="preserve">,</w:t>
      </w:r>
      <w:r>
        <w:t xml:space="preserve"> </w:t>
      </w:r>
      <w:r>
        <w:t xml:space="preserve">Water</w:t>
      </w:r>
      <w:r>
        <w:t xml:space="preserve"> </w:t>
      </w:r>
      <w:r>
        <w:t xml:space="preserve">&amp;</w:t>
      </w:r>
      <w:r>
        <w:t xml:space="preserve"> </w:t>
      </w:r>
      <w:r>
        <w:t xml:space="preserve">Environment Systems</w:t>
      </w:r>
      <w:r>
        <w:t xml:space="preserve">, 36 (4): 2202–14.</w:t>
      </w:r>
      <w:r>
        <w:t xml:space="preserve"> </w:t>
      </w:r>
      <w:hyperlink r:id="rId37">
        <w:r>
          <w:rPr>
            <w:rStyle w:val="Hyperlink"/>
          </w:rPr>
          <w:t xml:space="preserve">https://doi.org/10.1016/j.energy.2010.05.020</w:t>
        </w:r>
      </w:hyperlink>
      <w:r>
        <w:t xml:space="preserve">.</w:t>
      </w:r>
    </w:p>
    <w:bookmarkEnd w:id="38"/>
    <w:bookmarkStart w:id="40" w:name="ref-hou2001cej"/>
    <w:p>
      <w:pPr>
        <w:pStyle w:val="Bibliography"/>
      </w:pPr>
      <w:r>
        <w:t xml:space="preserve">Hou, Kaihu, and Ronald Hughes. 2001.</w:t>
      </w:r>
      <w:r>
        <w:t xml:space="preserve"> </w:t>
      </w:r>
      <w:r>
        <w:t xml:space="preserve">“The Kinetics of Methane Steam Reforming over a Ni/α-Al2O Catalyst.”</w:t>
      </w:r>
      <w:r>
        <w:t xml:space="preserve"> </w:t>
      </w:r>
      <w:r>
        <w:rPr>
          <w:i/>
          <w:iCs/>
        </w:rPr>
        <w:t xml:space="preserve">Chemical Engineering Journal</w:t>
      </w:r>
      <w:r>
        <w:t xml:space="preserve">,</w:t>
      </w:r>
      <w:r>
        <w:t xml:space="preserve"> </w:t>
      </w:r>
      <w:r>
        <w:t xml:space="preserve">FRONTIERS IN CHEMICAL REACTION ENGINEERING</w:t>
      </w:r>
      <w:r>
        <w:t xml:space="preserve">, 82 (1): 311–28.</w:t>
      </w:r>
      <w:r>
        <w:t xml:space="preserve"> </w:t>
      </w:r>
      <w:hyperlink r:id="rId39">
        <w:r>
          <w:rPr>
            <w:rStyle w:val="Hyperlink"/>
          </w:rPr>
          <w:t xml:space="preserve">https://doi.org/10.1016/S1385-8947(00)00367-3</w:t>
        </w:r>
      </w:hyperlink>
      <w:r>
        <w:t xml:space="preserve">.</w:t>
      </w:r>
    </w:p>
    <w:bookmarkEnd w:id="40"/>
    <w:bookmarkStart w:id="42" w:name="ref-karpilov2023tsaep"/>
    <w:p>
      <w:pPr>
        <w:pStyle w:val="Bibliography"/>
      </w:pPr>
      <w:r>
        <w:t xml:space="preserve">Karpilov, Igor, and Dmitry Pashchenko. 2023.</w:t>
      </w:r>
      <w:r>
        <w:t xml:space="preserve"> </w:t>
      </w:r>
      <w:r>
        <w:t xml:space="preserve">“Steam Methane Reforming over a Preheated Packed Bed: Heat and Mass Transfer in a Transient Process.”</w:t>
      </w:r>
      <w:r>
        <w:t xml:space="preserve"> </w:t>
      </w:r>
      <w:r>
        <w:rPr>
          <w:i/>
          <w:iCs/>
        </w:rPr>
        <w:t xml:space="preserve">Thermal Science and Engineering Progress</w:t>
      </w:r>
      <w:r>
        <w:t xml:space="preserve"> </w:t>
      </w:r>
      <w:r>
        <w:t xml:space="preserve">42 (July): 101868.</w:t>
      </w:r>
      <w:r>
        <w:t xml:space="preserve"> </w:t>
      </w:r>
      <w:hyperlink r:id="rId41">
        <w:r>
          <w:rPr>
            <w:rStyle w:val="Hyperlink"/>
          </w:rPr>
          <w:t xml:space="preserve">https://doi.org/10.1016/j.tsep.2023.101868</w:t>
        </w:r>
      </w:hyperlink>
      <w:r>
        <w:t xml:space="preserve">.</w:t>
      </w:r>
    </w:p>
    <w:bookmarkEnd w:id="42"/>
    <w:bookmarkStart w:id="44" w:name="ref-lao2016ces"/>
    <w:p>
      <w:pPr>
        <w:pStyle w:val="Bibliography"/>
      </w:pPr>
      <w:r>
        <w:t xml:space="preserve">Lao, Liangfeng, Andres Aguirre, Anh Tran, Zhe Wu, Helen Durand, and Panagiotis D. Christofides. 2016.</w:t>
      </w:r>
      <w:r>
        <w:t xml:space="preserve"> </w:t>
      </w:r>
      <w:r>
        <w:t xml:space="preserve">“CFD Modeling and Control of a Steam Methane Reforming Reactor.”</w:t>
      </w:r>
      <w:r>
        <w:t xml:space="preserve"> </w:t>
      </w:r>
      <w:r>
        <w:rPr>
          <w:i/>
          <w:iCs/>
        </w:rPr>
        <w:t xml:space="preserve">Chemical Engineering Science</w:t>
      </w:r>
      <w:r>
        <w:t xml:space="preserve"> </w:t>
      </w:r>
      <w:r>
        <w:t xml:space="preserve">148 (July): 78–92.</w:t>
      </w:r>
      <w:r>
        <w:t xml:space="preserve"> </w:t>
      </w:r>
      <w:hyperlink r:id="rId43">
        <w:r>
          <w:rPr>
            <w:rStyle w:val="Hyperlink"/>
          </w:rPr>
          <w:t xml:space="preserve">https://doi.org/10.1016/j.ces.2016.03.038</w:t>
        </w:r>
      </w:hyperlink>
      <w:r>
        <w:t xml:space="preserve">.</w:t>
      </w:r>
    </w:p>
    <w:bookmarkEnd w:id="44"/>
    <w:bookmarkStart w:id="46" w:name="ref-ma2022ijohe"/>
    <w:p>
      <w:pPr>
        <w:pStyle w:val="Bibliography"/>
      </w:pPr>
      <w:r>
        <w:t xml:space="preserve">Ma, Jing, Bo Jiang, Yuming Gao, Kewei Yu, Zheng Lv, Wang Si-ma, Dazhong Yuan, and Dawei Tang. 2022.</w:t>
      </w:r>
      <w:r>
        <w:t xml:space="preserve"> </w:t>
      </w:r>
      <w:r>
        <w:t xml:space="preserve">“A Compact and High-Efficiency Electrified Reactor for Hydrogen Production by Methane Steam Reforming.”</w:t>
      </w:r>
      <w:r>
        <w:t xml:space="preserve"> </w:t>
      </w:r>
      <w:r>
        <w:rPr>
          <w:i/>
          <w:iCs/>
        </w:rPr>
        <w:t xml:space="preserve">International Journal of Hydrogen Energy</w:t>
      </w:r>
      <w:r>
        <w:t xml:space="preserve">, Progress in</w:t>
      </w:r>
      <w:r>
        <w:t xml:space="preserve"> </w:t>
      </w:r>
      <w:r>
        <w:t xml:space="preserve">Grey</w:t>
      </w:r>
      <w:r>
        <w:t xml:space="preserve">,</w:t>
      </w:r>
      <w:r>
        <w:t xml:space="preserve"> </w:t>
      </w:r>
      <w:r>
        <w:t xml:space="preserve">Blue</w:t>
      </w:r>
      <w:r>
        <w:t xml:space="preserve"> </w:t>
      </w:r>
      <w:r>
        <w:t xml:space="preserve">and</w:t>
      </w:r>
      <w:r>
        <w:t xml:space="preserve"> </w:t>
      </w:r>
      <w:r>
        <w:t xml:space="preserve">Green Hydrogen</w:t>
      </w:r>
      <w:r>
        <w:t xml:space="preserve">, 47 (98): 41421–31.</w:t>
      </w:r>
      <w:r>
        <w:t xml:space="preserve"> </w:t>
      </w:r>
      <w:hyperlink r:id="rId45">
        <w:r>
          <w:rPr>
            <w:rStyle w:val="Hyperlink"/>
          </w:rPr>
          <w:t xml:space="preserve">https://doi.org/10.1016/j.ijhydene.2022.04.281</w:t>
        </w:r>
      </w:hyperlink>
      <w:r>
        <w:t xml:space="preserve">.</w:t>
      </w:r>
    </w:p>
    <w:bookmarkEnd w:id="46"/>
    <w:bookmarkStart w:id="48" w:name="ref-mokheimer2014joert"/>
    <w:p>
      <w:pPr>
        <w:pStyle w:val="Bibliography"/>
      </w:pPr>
      <w:r>
        <w:t xml:space="preserve">Mokheimer, Esmail M. A., Muhammad Ibrar Hussain, Shakeel Ahmed, Mohamed A. Habib, and Amro A. Al-Qutub. 2014.</w:t>
      </w:r>
      <w:r>
        <w:t xml:space="preserve"> </w:t>
      </w:r>
      <w:r>
        <w:t xml:space="preserve">“On the Modeling of Steam Methane Reforming.”</w:t>
      </w:r>
      <w:r>
        <w:t xml:space="preserve"> </w:t>
      </w:r>
      <w:r>
        <w:rPr>
          <w:i/>
          <w:iCs/>
        </w:rPr>
        <w:t xml:space="preserve">Journal of Energy Resources Technology</w:t>
      </w:r>
      <w:r>
        <w:t xml:space="preserve"> </w:t>
      </w:r>
      <w:r>
        <w:t xml:space="preserve">137 (012001).</w:t>
      </w:r>
      <w:r>
        <w:t xml:space="preserve"> </w:t>
      </w:r>
      <w:hyperlink r:id="rId47">
        <w:r>
          <w:rPr>
            <w:rStyle w:val="Hyperlink"/>
          </w:rPr>
          <w:t xml:space="preserve">https://doi.org/10.1115/1.4027962</w:t>
        </w:r>
      </w:hyperlink>
      <w:r>
        <w:t xml:space="preserve">.</w:t>
      </w:r>
    </w:p>
    <w:bookmarkEnd w:id="48"/>
    <w:bookmarkStart w:id="49" w:name="ref-worstell2014"/>
    <w:p>
      <w:pPr>
        <w:pStyle w:val="Bibliography"/>
      </w:pPr>
      <w:r>
        <w:t xml:space="preserve">Worstell, Jonathan. 2014.</w:t>
      </w:r>
      <w:r>
        <w:t xml:space="preserve"> </w:t>
      </w:r>
      <w:r>
        <w:rPr>
          <w:i/>
          <w:iCs/>
        </w:rPr>
        <w:t xml:space="preserve">Adiabatic Fixed-Bed Reactors</w:t>
      </w:r>
      <w:r>
        <w:t xml:space="preserve">. Practical Guides in Chemical Engineering. Waltham, MA: Elsevier Butterworth-Heinemann.</w:t>
      </w:r>
    </w:p>
    <w:bookmarkEnd w:id="49"/>
    <w:bookmarkStart w:id="51" w:name="ref-zhang2022ijohe"/>
    <w:p>
      <w:pPr>
        <w:pStyle w:val="Bibliography"/>
      </w:pPr>
      <w:r>
        <w:t xml:space="preserve">Zhang, Chao, Pengfei Song, Yiyan Sui, Jianguo Hou, and Xiulin Wang. 2022.</w:t>
      </w:r>
      <w:r>
        <w:t xml:space="preserve"> </w:t>
      </w:r>
      <w:r>
        <w:t xml:space="preserve">“Economic Competitiveness of Compact Steam Methane Reforming Technology for on-Site Hydrogen Supply: A Foshan Case Study.”</w:t>
      </w:r>
      <w:r>
        <w:t xml:space="preserve"> </w:t>
      </w:r>
      <w:r>
        <w:rPr>
          <w:i/>
          <w:iCs/>
        </w:rPr>
        <w:t xml:space="preserve">International Journal of Hydrogen Energy</w:t>
      </w:r>
      <w:r>
        <w:t xml:space="preserve"> </w:t>
      </w:r>
      <w:r>
        <w:t xml:space="preserve">47 (76): 32359–71.</w:t>
      </w:r>
      <w:r>
        <w:t xml:space="preserve"> </w:t>
      </w:r>
      <w:hyperlink r:id="rId50">
        <w:r>
          <w:rPr>
            <w:rStyle w:val="Hyperlink"/>
          </w:rPr>
          <w:t xml:space="preserve">https://doi.org/10.1016/j.ijhydene.2022.07.149</w:t>
        </w:r>
      </w:hyperlink>
      <w:r>
        <w:t xml:space="preserve">.</w:t>
      </w:r>
    </w:p>
    <w:bookmarkEnd w:id="51"/>
    <w:bookmarkStart w:id="53" w:name="ref-zhang2021raser"/>
    <w:p>
      <w:pPr>
        <w:pStyle w:val="Bibliography"/>
      </w:pPr>
      <w:r>
        <w:t xml:space="preserve">Zhang, Haotian, Zhuxing Sun, and Yun Hang Hu. 2021.</w:t>
      </w:r>
      <w:r>
        <w:t xml:space="preserve"> </w:t>
      </w:r>
      <w:r>
        <w:t xml:space="preserve">“Steam Reforming of Methane: Current States of Catalyst Design and Process Upgrading.”</w:t>
      </w:r>
      <w:r>
        <w:t xml:space="preserve"> </w:t>
      </w:r>
      <w:r>
        <w:rPr>
          <w:i/>
          <w:iCs/>
        </w:rPr>
        <w:t xml:space="preserve">Renewable and Sustainable Energy Reviews</w:t>
      </w:r>
      <w:r>
        <w:t xml:space="preserve"> </w:t>
      </w:r>
      <w:r>
        <w:t xml:space="preserve">149 (October): 111330.</w:t>
      </w:r>
      <w:r>
        <w:t xml:space="preserve"> </w:t>
      </w:r>
      <w:hyperlink r:id="rId52">
        <w:r>
          <w:rPr>
            <w:rStyle w:val="Hyperlink"/>
          </w:rPr>
          <w:t xml:space="preserve">https://doi.org/10.1016/j.rser.2021.111330</w:t>
        </w:r>
      </w:hyperlink>
      <w:r>
        <w:t xml:space="preserve">.</w:t>
      </w:r>
    </w:p>
    <w:bookmarkEnd w:id="53"/>
    <w:bookmarkEnd w:id="54"/>
    <w:bookmarkEnd w:id="55"/>
    <w:sectPr w:rsidR="00DA21F6" w:rsidSect="0023631E">
      <w:footerReference r:id="rId9" w:type="default"/>
      <w:pgSz w:h="15840" w:w="12240"/>
      <w:pgMar w:bottom="1134" w:footer="720" w:gutter="0" w:header="720" w:left="1134" w:right="1134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867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7A29A" w14:textId="63E9005A" w:rsidR="0023631E" w:rsidRDefault="00236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12657" w14:textId="77777777" w:rsidR="0023631E" w:rsidRDefault="0023631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Essentially, you are designing two reactors. These two reactors have</w:t>
      </w:r>
      <w:r>
        <w:t xml:space="preserve"> </w:t>
      </w:r>
      <w:r>
        <w:t xml:space="preserve">different reactions taking place within them. You may also choose to model</w:t>
      </w:r>
      <w:r>
        <w:t xml:space="preserve"> </w:t>
      </w:r>
      <w:r>
        <w:t xml:space="preserve">these two reactors as two different types (e.g. the reformer as a PBR, and the</w:t>
      </w:r>
      <w:r>
        <w:t xml:space="preserve"> </w:t>
      </w:r>
      <w:r>
        <w:t xml:space="preserve">furnace as a CSTR)</w:t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0CD2DE"/>
    <w:multiLevelType w:val="multilevel"/>
    <w:tmpl w:val="80B2CAB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880825536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1F6"/>
    <w:rsid w:val="0023631E"/>
    <w:rsid w:val="002C204E"/>
    <w:rsid w:val="00DA21F6"/>
    <w:rsid w:val="00E21605"/>
    <w:rsid w:val="00F35D2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F35D27"/>
    <w:pPr>
      <w:spacing w:after="240"/>
      <w:jc w:val="both"/>
    </w:pPr>
    <w:rPr>
      <w:rFonts w:ascii="Gentium Plus" w:hAnsi="Gentium Plus"/>
    </w:rPr>
  </w:style>
  <w:style w:styleId="Heading1" w:type="paragraph">
    <w:name w:val="heading 1"/>
    <w:basedOn w:val="Normal"/>
    <w:next w:val="BodyText"/>
    <w:uiPriority w:val="9"/>
    <w:qFormat/>
    <w:rsid w:val="00F35D27"/>
    <w:pPr>
      <w:keepNext/>
      <w:keepLines/>
      <w:spacing w:after="0" w:before="480"/>
      <w:outlineLvl w:val="0"/>
    </w:pPr>
    <w:rPr>
      <w:rFonts w:cstheme="majorBidi" w:eastAsiaTheme="majorEastAsia"/>
      <w:b/>
      <w:bCs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1"/>
    </w:pPr>
    <w:rPr>
      <w:rFonts w:cstheme="majorBidi" w:eastAsiaTheme="majorEastAsia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2"/>
    </w:pPr>
    <w:rPr>
      <w:rFonts w:cstheme="majorBidi" w:eastAsiaTheme="majorEastAsia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3"/>
    </w:pPr>
    <w:rPr>
      <w:rFonts w:cstheme="majorBidi" w:eastAsiaTheme="majorEastAsia"/>
      <w:bCs/>
      <w:i/>
    </w:rPr>
  </w:style>
  <w:style w:styleId="Heading5" w:type="paragraph">
    <w:name w:val="heading 5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4"/>
    </w:pPr>
    <w:rPr>
      <w:rFonts w:cstheme="majorBidi" w:eastAsiaTheme="majorEastAsia"/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5"/>
    </w:pPr>
    <w:rPr>
      <w:rFonts w:cstheme="majorBidi" w:eastAsiaTheme="majorEastAsia"/>
    </w:rPr>
  </w:style>
  <w:style w:styleId="Heading7" w:type="paragraph">
    <w:name w:val="heading 7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6"/>
    </w:pPr>
    <w:rPr>
      <w:rFonts w:cstheme="majorBidi" w:eastAsiaTheme="majorEastAsia"/>
    </w:rPr>
  </w:style>
  <w:style w:styleId="Heading8" w:type="paragraph">
    <w:name w:val="heading 8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7"/>
    </w:pPr>
    <w:rPr>
      <w:rFonts w:cstheme="majorBidi" w:eastAsiaTheme="majorEastAsia"/>
    </w:rPr>
  </w:style>
  <w:style w:styleId="Heading9" w:type="paragraph">
    <w:name w:val="heading 9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8"/>
    </w:pPr>
    <w:rPr>
      <w:rFonts w:cstheme="majorBidi" w:eastAsiaTheme="majorEastAsia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F35D27"/>
    <w:pPr>
      <w:keepNext/>
      <w:keepLines/>
      <w:spacing w:before="480"/>
      <w:jc w:val="center"/>
    </w:pPr>
    <w:rPr>
      <w:rFonts w:cstheme="majorBidi" w:eastAsiaTheme="majorEastAsia"/>
      <w:b/>
      <w:bCs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styleId="Date" w:type="paragraph">
    <w:name w:val="Date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rsid w:val="00F35D27"/>
    <w:pPr>
      <w:spacing w:before="240" w:line="259" w:lineRule="auto"/>
      <w:outlineLvl w:val="9"/>
    </w:pPr>
    <w:rPr>
      <w:b w:val="0"/>
      <w:bCs w:val="0"/>
    </w:rPr>
  </w:style>
  <w:style w:styleId="Header" w:type="paragraph">
    <w:name w:val="header"/>
    <w:basedOn w:val="Normal"/>
    <w:link w:val="HeaderChar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3631E"/>
    <w:rPr>
      <w:rFonts w:ascii="Gentium Plus" w:hAnsi="Gentium Plus"/>
    </w:rPr>
  </w:style>
  <w:style w:styleId="Footer" w:type="paragraph">
    <w:name w:val="footer"/>
    <w:basedOn w:val="Normal"/>
    <w:link w:val="FooterChar"/>
    <w:uiPriority w:val="99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23631E"/>
    <w:rPr>
      <w:rFonts w:ascii="Gentium Plus" w:hAnsi="Gentium Plus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hyperlink" Id="rId35" Target="https://doi.org/10.1002/aic.11687" TargetMode="External" /><Relationship Type="http://schemas.openxmlformats.org/officeDocument/2006/relationships/hyperlink" Id="rId39" Target="https://doi.org/10.1016/S1385-8947(00)00367-3" TargetMode="External" /><Relationship Type="http://schemas.openxmlformats.org/officeDocument/2006/relationships/hyperlink" Id="rId43" Target="https://doi.org/10.1016/j.ces.2016.03.038" TargetMode="External" /><Relationship Type="http://schemas.openxmlformats.org/officeDocument/2006/relationships/hyperlink" Id="rId37" Target="https://doi.org/10.1016/j.energy.2010.05.020" TargetMode="External" /><Relationship Type="http://schemas.openxmlformats.org/officeDocument/2006/relationships/hyperlink" Id="rId33" Target="https://doi.org/10.1016/j.ijhydene.2021.11.240" TargetMode="External" /><Relationship Type="http://schemas.openxmlformats.org/officeDocument/2006/relationships/hyperlink" Id="rId45" Target="https://doi.org/10.1016/j.ijhydene.2022.04.281" TargetMode="External" /><Relationship Type="http://schemas.openxmlformats.org/officeDocument/2006/relationships/hyperlink" Id="rId50" Target="https://doi.org/10.1016/j.ijhydene.2022.07.149" TargetMode="External" /><Relationship Type="http://schemas.openxmlformats.org/officeDocument/2006/relationships/hyperlink" Id="rId52" Target="https://doi.org/10.1016/j.rser.2021.111330" TargetMode="External" /><Relationship Type="http://schemas.openxmlformats.org/officeDocument/2006/relationships/hyperlink" Id="rId41" Target="https://doi.org/10.1016/j.tsep.2023.101868" TargetMode="External" /><Relationship Type="http://schemas.openxmlformats.org/officeDocument/2006/relationships/hyperlink" Id="rId47" Target="https://doi.org/10.1115/1.40279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doi.org/10.1002/aic.11687" TargetMode="External" /><Relationship Type="http://schemas.openxmlformats.org/officeDocument/2006/relationships/hyperlink" Id="rId39" Target="https://doi.org/10.1016/S1385-8947(00)00367-3" TargetMode="External" /><Relationship Type="http://schemas.openxmlformats.org/officeDocument/2006/relationships/hyperlink" Id="rId43" Target="https://doi.org/10.1016/j.ces.2016.03.038" TargetMode="External" /><Relationship Type="http://schemas.openxmlformats.org/officeDocument/2006/relationships/hyperlink" Id="rId37" Target="https://doi.org/10.1016/j.energy.2010.05.020" TargetMode="External" /><Relationship Type="http://schemas.openxmlformats.org/officeDocument/2006/relationships/hyperlink" Id="rId33" Target="https://doi.org/10.1016/j.ijhydene.2021.11.240" TargetMode="External" /><Relationship Type="http://schemas.openxmlformats.org/officeDocument/2006/relationships/hyperlink" Id="rId45" Target="https://doi.org/10.1016/j.ijhydene.2022.04.281" TargetMode="External" /><Relationship Type="http://schemas.openxmlformats.org/officeDocument/2006/relationships/hyperlink" Id="rId50" Target="https://doi.org/10.1016/j.ijhydene.2022.07.149" TargetMode="External" /><Relationship Type="http://schemas.openxmlformats.org/officeDocument/2006/relationships/hyperlink" Id="rId52" Target="https://doi.org/10.1016/j.rser.2021.111330" TargetMode="External" /><Relationship Type="http://schemas.openxmlformats.org/officeDocument/2006/relationships/hyperlink" Id="rId41" Target="https://doi.org/10.1016/j.tsep.2023.101868" TargetMode="External" /><Relationship Type="http://schemas.openxmlformats.org/officeDocument/2006/relationships/hyperlink" Id="rId47" Target="https://doi.org/10.1115/1.40279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Compact steam methane reformer for on-site hydrogen supply</dc:title>
  <dc:creator/>
  <cp:keywords/>
  <dcterms:created xsi:type="dcterms:W3CDTF">2025-03-31T06:29:46Z</dcterms:created>
  <dcterms:modified xsi:type="dcterms:W3CDTF">2025-03-31T06:29:46Z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itation">
    <vt:lpwstr/>
  </property>
  <property fmtid="{D5CDD505-2E9C-101B-9397-08002B2CF9AE}" pid="5" name="csl">
    <vt:lpwstr>../../../bibliography/chicago-author-date.csl</vt:lpwstr>
  </property>
  <property fmtid="{D5CDD505-2E9C-101B-9397-08002B2CF9AE}" pid="6" name="date-modified">
    <vt:lpwstr>2024-07-04</vt:lpwstr>
  </property>
  <property fmtid="{D5CDD505-2E9C-101B-9397-08002B2CF9AE}" pid="7" name="description-meta">
    <vt:lpwstr>An undergraduate course on chemical reaction engineering.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link-bibliography">
    <vt:lpwstr>True</vt:lpwstr>
  </property>
  <property fmtid="{D5CDD505-2E9C-101B-9397-08002B2CF9AE}" pid="13" name="link-citations">
    <vt:lpwstr>True</vt:lpwstr>
  </property>
  <property fmtid="{D5CDD505-2E9C-101B-9397-08002B2CF9AE}" pid="14" name="number-depth">
    <vt:lpwstr>3</vt:lpwstr>
  </property>
  <property fmtid="{D5CDD505-2E9C-101B-9397-08002B2CF9AE}" pid="15" name="subtitle">
    <vt:lpwstr>Group Project: chemical reaction engineering S1 2024</vt:lpwstr>
  </property>
  <property fmtid="{D5CDD505-2E9C-101B-9397-08002B2CF9AE}" pid="16" name="toc-title">
    <vt:lpwstr>Table of contents</vt:lpwstr>
  </property>
</Properties>
</file>